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FA1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/>
        <w:jc w:val="center"/>
        <w:rPr>
          <w:rFonts w:ascii="微软雅黑" w:hAnsi="微软雅黑" w:eastAsia="微软雅黑" w:cs="微软雅黑"/>
          <w:b/>
          <w:bCs/>
          <w:i w:val="0"/>
          <w:iCs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bdr w:val="none" w:color="auto" w:sz="0" w:space="0"/>
        </w:rPr>
        <w:t>民用爆炸物品产品质量监督检验管理办法</w:t>
      </w:r>
    </w:p>
    <w:p w14:paraId="7A08F840">
      <w:pPr>
        <w:keepNext w:val="0"/>
        <w:keepLines w:val="0"/>
        <w:widowControl/>
        <w:suppressLineNumbers w:val="0"/>
        <w:pBdr>
          <w:top w:val="single" w:color="auto" w:sz="6" w:space="15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发布时间：2007-08-15 16:26 来源：安全生产司</w:t>
      </w:r>
      <w:bookmarkStart w:id="0" w:name="_GoBack"/>
      <w:bookmarkEnd w:id="0"/>
    </w:p>
    <w:p w14:paraId="4DA9E8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center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科工爆[2007]192号</w:t>
      </w:r>
    </w:p>
    <w:p w14:paraId="2998073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第一条 为加强民用爆炸物品（以下简称民爆物品）行业的产品质量监督检验管理，保证民爆物品的产品质量，依据《产品质量法》和《民用爆炸物品安全管理条例》及国家有关法律、法规的规定，制定本办法。</w:t>
      </w:r>
    </w:p>
    <w:p w14:paraId="1F23FF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第二条 本办法适用于民爆物品生产、销售过程的产品质量监督检验管理。</w:t>
      </w:r>
    </w:p>
    <w:p w14:paraId="715580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第三条 国家鼓励企业采用国际通用的质量管理体系生产和销售本质安全、性能优良、满足用户需要的民爆物品。</w:t>
      </w:r>
    </w:p>
    <w:p w14:paraId="37403A0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第四条 国防科学技术工业委员会（以下简称国防科工委）负责全国民爆物品产品质量监督检验管理工作，主要包括以下内容：</w:t>
      </w:r>
    </w:p>
    <w:p w14:paraId="0987A3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（一）制定民爆物品产品质量方针、规划和管理办法；</w:t>
      </w:r>
    </w:p>
    <w:p w14:paraId="5363B7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（二）组织制定民爆物品产品的国家标准或行业标准；</w:t>
      </w:r>
    </w:p>
    <w:p w14:paraId="5A6B61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（三）组织全国民爆物品产品质量监督检查。</w:t>
      </w:r>
    </w:p>
    <w:p w14:paraId="5013B7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第五条 省、自治区、直辖市国防科技工业主管部门（以下简称省级国防科技工业主管部门）负责辖区内民爆物品产品质量监督检验管理工作，主要包括以下内容：</w:t>
      </w:r>
    </w:p>
    <w:p w14:paraId="2C3679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（一）根据需要推荐设立省级民爆物品质量监督检验机构；</w:t>
      </w:r>
    </w:p>
    <w:p w14:paraId="4D504E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（二）产品质量的日常监督检验管理；</w:t>
      </w:r>
    </w:p>
    <w:p w14:paraId="697CC2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（三）监督企业的质量管理人员培训工作；</w:t>
      </w:r>
    </w:p>
    <w:p w14:paraId="1492F2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（四）依法实施对与质量相关违法、违规行为的处罚。</w:t>
      </w:r>
    </w:p>
    <w:p w14:paraId="5F102B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第六条 企业是民爆物品产品质量管理的责任主体；企业主要负责人是民爆物品产品质量的第一责任人，负责组织制定本企业许可产品的质量控制措施。</w:t>
      </w:r>
    </w:p>
    <w:p w14:paraId="5C1D1FC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第七条 生产企业出厂的民爆物品产品性能指标应符合法律、法规和国家标准、行业标准及企业标准的要求。企业标准应在当地质量技术监督管理部门备案。</w:t>
      </w:r>
    </w:p>
    <w:p w14:paraId="38C810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第八条 生产企业应建立、实施、保持切实可行的民爆物品质量保证体系，并通过质量管理体系认证。企业应按照相关标准的规定，严格执行产品出厂检验制度，未经检验合格的产品不得出厂。</w:t>
      </w:r>
    </w:p>
    <w:p w14:paraId="35C67E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第九条 国防科技工业主管部门负责组织对生产企业的产品质量抽检。产品抽样方案按相应产品质量标准执行，检测机构由组织单位予以确定；国家监督抽检的产品，地方不得另行重复抽检；国家和省级民爆主管部门对生产企业的产品质量抽检原则一年一次。</w:t>
      </w:r>
    </w:p>
    <w:p w14:paraId="0B02E0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第十条 民爆物品质量检验机构应独立、客观、公正地开展质量检测工作，并对出具的质量检验报告承担法律责任。</w:t>
      </w:r>
    </w:p>
    <w:p w14:paraId="550D60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第十一条 任何单位和个人对民爆物品质量违法、违规行为，均有权向国防科技工业主管部门检举和举报。</w:t>
      </w:r>
    </w:p>
    <w:p w14:paraId="0EB582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第十二条 有下列质量管理行为之一者，除按《产品质量法》第五章处罚外，所在地省级国防科技工业主管部门视情节，责令停产整顿；情节严重的，报请国防科工委吊销《民用爆炸物品生产许可证》：</w:t>
      </w:r>
    </w:p>
    <w:p w14:paraId="4361A8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（一）出售无标准产品或不合格产品的；</w:t>
      </w:r>
    </w:p>
    <w:p w14:paraId="0BCCA3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（二）未按照标准要求组织生产，因产品质量问题造成安全事故或用户重大经济损失的；</w:t>
      </w:r>
    </w:p>
    <w:p w14:paraId="30551D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（三）国家和地区组织的产品质量抽检，主要性能指标不合格的。</w:t>
      </w:r>
    </w:p>
    <w:p w14:paraId="77DE18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第十三条 产品质量检验机构、认证机构伪造检测结果或者出具虚假证明的，国防科技工业主管部门对直接负责人和单位负责人进行处罚，责令改正；情节严重的，建议有关部门取消其检验资格、认证资格。</w:t>
      </w:r>
    </w:p>
    <w:p w14:paraId="0FFB65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产品质量检验机构、认证机构出具的检测结果或者证明不实，造成损失的，应当承担相应的赔偿责任；造成重大损失的，建议有关部门取消其检测资格、认证资格。</w:t>
      </w:r>
    </w:p>
    <w:p w14:paraId="21D73D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第十四条 各级民爆管理部门的工作人员在质量监管工作中，有弄虚作假、徇私舞弊以及受贿、渎职等行为的，依法给予行政处分。</w:t>
      </w:r>
    </w:p>
    <w:p w14:paraId="198C5E3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第十五条 本办法由国防科工委负责解释。</w:t>
      </w:r>
    </w:p>
    <w:p w14:paraId="18B8C2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7" w:lineRule="atLeast"/>
        <w:ind w:left="0" w:right="0"/>
        <w:jc w:val="both"/>
        <w:rPr>
          <w:rFonts w:ascii="宋体" w:hAnsi="宋体" w:eastAsia="宋体" w:cs="宋体"/>
          <w:i w:val="0"/>
          <w:iCs w:val="0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070707"/>
          <w:spacing w:val="0"/>
          <w:sz w:val="24"/>
          <w:szCs w:val="24"/>
          <w:bdr w:val="none" w:color="auto" w:sz="0" w:space="0"/>
        </w:rPr>
        <w:t>　　第十六条 本办法自发布之日起施行。</w:t>
      </w:r>
    </w:p>
    <w:p w14:paraId="7CD319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3A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2026-08-31T03:40:50Z</dcterms:created>
  <dc:creator>HUAWEI</dc:creator>
  <cp:lastModifiedBy>一息</cp:lastModifiedBy>
  <dcterms:modified xsi:type="dcterms:W3CDTF">2026-08-31T03:41:02Z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eyJoZGlkIjoiMmJiNWZiOGQ0ZjYxMGU4MzlmZjE5NGI1NTk2OTU5YjkiLCJ1c2VySWQiOiI0ODkwODA2NzAifQ==</vt:lpwstr>
  </property>
  <property fmtid="{D5CDD505-2E9C-101B-9397-08002B2CF9AE}" pid="4" name="ICV">
    <vt:lpwstr>5D9DC54F0FE84ADC884CFA9373E8C6AA_12</vt:lpwstr>
  </property>
</Properties>
</file>